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2C6B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52"/>
          <w:szCs w:val="52"/>
          <w:lang w:val="uk-UA" w:eastAsia="ru-RU"/>
        </w:rPr>
      </w:pPr>
      <w:r w:rsidRPr="004676F0">
        <w:rPr>
          <w:rFonts w:eastAsia="Times New Roman" w:cstheme="minorHAnsi"/>
          <w:b/>
          <w:bCs/>
          <w:color w:val="000000"/>
          <w:sz w:val="52"/>
          <w:szCs w:val="52"/>
          <w:lang w:val="uk-UA" w:eastAsia="ru-RU"/>
        </w:rPr>
        <w:t>Лічильники газу: встановлення, повірка та заміна</w:t>
      </w:r>
    </w:p>
    <w:p w14:paraId="5B2BC5D5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</w:pP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>Що</w:t>
      </w: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 xml:space="preserve"> таке лічильник газу, які вони бувають</w:t>
      </w: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>, як</w:t>
      </w: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 xml:space="preserve"> і навіщо їх встановлюють</w:t>
      </w:r>
    </w:p>
    <w:p w14:paraId="395168BA" w14:textId="59E705A6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</w:pP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Закон України </w:t>
      </w:r>
      <w:r w:rsidR="00BA647C">
        <w:rPr>
          <w:rFonts w:ascii="Calibri" w:eastAsia="Times New Roman" w:hAnsi="Calibri" w:cs="Calibri"/>
          <w:sz w:val="24"/>
          <w:szCs w:val="24"/>
          <w:lang w:val="uk-UA" w:eastAsia="ru-RU"/>
        </w:rPr>
        <w:t>«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>Про забезпечення комерційного обліку природного газу</w:t>
      </w:r>
      <w:r w:rsidR="00BA647C">
        <w:rPr>
          <w:rFonts w:ascii="Calibri" w:eastAsia="Times New Roman" w:hAnsi="Calibri" w:cs="Calibri"/>
          <w:sz w:val="24"/>
          <w:szCs w:val="24"/>
          <w:lang w:val="uk-UA" w:eastAsia="ru-RU"/>
        </w:rPr>
        <w:t>»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визначає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лічильник газу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як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засіб вимірювальної техніки, який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використовується для вимірювання, запам'ятовування та відображення об'єму газу, що проходить через нього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. В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изначення за допомогою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лічильника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газу обсягу споживання природного газу, на підставі якого проводяться взаєморозрахунки між споживачами природного газу та суб'єктами господарювання, що здійснюють постачання природного газу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, відповідно до згаданого Закону і є комерційним обліком природного газу. За умов комерційного обліку кожен споживач розраховується саме за той об'єм природного газу, який був спожит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ий ним у розрахунковому періоді (місяці). Цим розрахунки за газ за показаннями лічильника  відрізняються від розрахунків за встановленими нормами споживання газу, коли фактичне споживання газу конкретним споживачем у даному періоді може бути меншим від встановленої норми, а може перевищувати встановлену норму.</w:t>
      </w:r>
    </w:p>
    <w:p w14:paraId="032B7413" w14:textId="15A3449C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Відповідно до згаданого Закону обов'язок з встановлення лічильників побутовим споживачам (населенню), які досі не мали лічильників і розраховувалися за встановленими нормами споживання, покладений на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суб’єкти господарювання, що здійснюють розподіл природного газу на відповідній території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- 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Операторів газорозподільних </w:t>
      </w:r>
      <w:r w:rsidR="00BA647C">
        <w:rPr>
          <w:rFonts w:ascii="Calibri" w:eastAsia="Times New Roman" w:hAnsi="Calibri" w:cs="Calibri"/>
          <w:sz w:val="24"/>
          <w:szCs w:val="24"/>
          <w:lang w:val="uk-UA" w:eastAsia="ru-RU"/>
        </w:rPr>
        <w:t>систем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. </w:t>
      </w:r>
      <w:r w:rsidR="004676F0">
        <w:rPr>
          <w:rFonts w:ascii="Calibri" w:eastAsia="Times New Roman" w:hAnsi="Calibri" w:cs="Calibri"/>
          <w:sz w:val="24"/>
          <w:szCs w:val="24"/>
          <w:lang w:val="uk-UA" w:eastAsia="ru-RU"/>
        </w:rPr>
        <w:t>У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межах міста Харків таким Оператором є Харківська міська філія ТОВ </w:t>
      </w:r>
      <w:r w:rsidR="004676F0">
        <w:rPr>
          <w:rFonts w:ascii="Calibri" w:eastAsia="Times New Roman" w:hAnsi="Calibri" w:cs="Calibri"/>
          <w:sz w:val="24"/>
          <w:szCs w:val="24"/>
          <w:lang w:val="uk-UA" w:eastAsia="ru-RU"/>
        </w:rPr>
        <w:t>«Газорозподільні мережі України»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. </w:t>
      </w:r>
    </w:p>
    <w:p w14:paraId="3510C1D6" w14:textId="6E5F2D88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Звісно, споживач, який не має лічильника газу і не бажає чекати, поки до нього дійде черга на встановлення лічильника Оператором ГРМ, або якщо багатоквартирний будинок, в якому він мешкає, </w:t>
      </w:r>
      <w:r w:rsidR="004676F0"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>обладнаний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загальнобудинковим вузлом обліку газу, може ініціювати встановлення лічильника за свої власні кошти. </w:t>
      </w:r>
    </w:p>
    <w:p w14:paraId="5EE90CC7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На Операторів газорозподільних систем також покладені обов'язки з проведення періодичної повірки, а за необхідності і ремонту або заміни лічильників газу, встановлених у побутових споживачів (населення), при чому незалежно від права власності на ці лічильники. </w:t>
      </w:r>
    </w:p>
    <w:p w14:paraId="2D9C1D90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Лічильники газу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бувають різних типів і типорозмірів. Типорозмір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лічильника - це показник, який характеризує максимальну пропускну спроможність лічильника, яка виражається в кубічних мерах на годину (куб. м/год.)</w:t>
      </w:r>
    </w:p>
    <w:p w14:paraId="5926ED09" w14:textId="08BB4948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Для обліку спожитого газу у побутових споживачів (населення) відповідно до світової практики використовуються мембранні лічильники. Це лічильники об'ємного типу, тобто такі, що вимірюють об'єм газу безпосередньо, а не через вимірювання швидкості руху газу, або інших показників, як це роблять швидкісні лічильники - ультразвукові, турбінні, тощо. Для обліку газу у населення найчастіше використовуються мембранні лічильники типорозмірів від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G1,6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(максимальна витрата газу до 2,5 куб. м/год.) до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G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4 (максимальна витрата газу до 6 куб. м/год.)</w:t>
      </w:r>
    </w:p>
    <w:p w14:paraId="4560564C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Типорозмір лічильника обирається залежно від встановленого газоспоживаючого обладнання таким чином, щоб діапазон вимірювання лічильника перекривав діапазон можливих витрат встановленого обладнання. Порядок визначення типорозміру лічильника встановлений Кодексом газорозподільних систем.</w:t>
      </w:r>
    </w:p>
    <w:p w14:paraId="1BDB8E42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Лічильник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газу у побутового споживача за ініціативою і за кошти Оператора ГРМ або споживача може бути обладнаний засобом дистанційної передачі даних до Оператора ГРМ. </w:t>
      </w:r>
    </w:p>
    <w:p w14:paraId="1442EB56" w14:textId="77777777" w:rsidR="00992B5C" w:rsidRDefault="00992B5C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</w:pPr>
    </w:p>
    <w:p w14:paraId="50ED3BFD" w14:textId="2C780ACB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</w:pP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>Встановлення лічильника газу</w:t>
      </w: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 xml:space="preserve"> побутовому споживачу</w:t>
      </w: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>:</w:t>
      </w:r>
    </w:p>
    <w:p w14:paraId="382333B9" w14:textId="7DBDEB8D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Для встановлення лічильника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за власною ініціативою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споживачу слід звернутися до найближчого </w:t>
      </w:r>
      <w:r w:rsidR="00BA647C">
        <w:rPr>
          <w:rFonts w:eastAsia="Times New Roman" w:cstheme="minorHAnsi"/>
          <w:color w:val="000000"/>
          <w:sz w:val="24"/>
          <w:szCs w:val="24"/>
          <w:lang w:val="uk-UA" w:eastAsia="ru-RU"/>
        </w:rPr>
        <w:t>Ц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ентру обслуговування клієнтів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Харківської міської філії ТОВ </w:t>
      </w:r>
      <w:r w:rsidR="00BA647C">
        <w:rPr>
          <w:rFonts w:eastAsia="Times New Roman" w:cstheme="minorHAnsi"/>
          <w:color w:val="000000"/>
          <w:sz w:val="24"/>
          <w:szCs w:val="24"/>
          <w:lang w:val="uk-UA" w:eastAsia="ru-RU"/>
        </w:rPr>
        <w:t>«Газорозподільні мережі України»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з заявою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, при цьому надати оригінали та копії наступних документів:</w:t>
      </w:r>
    </w:p>
    <w:p w14:paraId="39841FBE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паспорта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(посв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і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дчення особи)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;</w:t>
      </w:r>
    </w:p>
    <w:p w14:paraId="1CC28634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довідки про присвоєння ідентифікаційного податкового номера;</w:t>
      </w:r>
    </w:p>
    <w:p w14:paraId="6DA34BFC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документів про право власності на будинок (квартиру);</w:t>
      </w:r>
    </w:p>
    <w:p w14:paraId="2CA6ED3F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технічного паспорта на будинок (квартиру)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,</w:t>
      </w:r>
    </w:p>
    <w:p w14:paraId="1AE8568A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а далі підписати договір на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встановлення побутового лічильника газу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 сплатити вартість виконання робіт.</w:t>
      </w:r>
    </w:p>
    <w:p w14:paraId="5E4CBF01" w14:textId="77777777" w:rsidR="00CC548D" w:rsidRPr="004676F0" w:rsidRDefault="00CC54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41485F28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Після встановлення лічильника споживач має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підписати:</w:t>
      </w:r>
    </w:p>
    <w:p w14:paraId="10775A8D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акт виконаних робіт;</w:t>
      </w:r>
    </w:p>
    <w:p w14:paraId="4DD97E9B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акт приймання лічильника газу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.</w:t>
      </w:r>
    </w:p>
    <w:p w14:paraId="2BDAE0AB" w14:textId="77777777" w:rsidR="00CC548D" w:rsidRPr="004676F0" w:rsidRDefault="00CC54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06E9CA3B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У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разі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встановлення лічильника за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ініціативою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Оператора ГРМ безкоштовно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для споживача, після встановлення лічильника споживач має підписати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акт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встановлення лічильника і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акт приймання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-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передачі на зберігання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побутового лічильника газу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(і засобу дистанційної передачі даних, якщо такий також був встановлений)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.</w:t>
      </w:r>
    </w:p>
    <w:p w14:paraId="51FFDF32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У разі відмови в доступі до об'єкта споживача, внаслідок чого Оператор ГРМ не здійснив за власний рахунок встановлення лічильника газу споживачу, який не забезпечений лічильником газу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і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розраховується за нормами споживання,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представниками Оператора ГРМ складається Акт про порушення. В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изначення об'єму спожитого природного газу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такому споживачу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здійснюється за граничними об'ємами споживання природного газу населенням з урахуванням усіх газових приладів і пристроїв, починаючи з дати, наступної після дати недопуску, визначеної в акті про порушення.</w:t>
      </w:r>
    </w:p>
    <w:p w14:paraId="60226FFB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Споживач зобов’язаний забезпечити збереження цілісності лічильника газу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 засобу дистанційної передачі даних (якщо встановлений)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 пломб на них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.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Відповідно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до Кодексу ГРМ споживач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несе відповідальність за пошкодження лічильника газу, пломб на ньому, порушення цілісності або пошкодження повірочного тавра, а також за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інші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дії, які призводять або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можуть призвести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до викривлення результатів вимірювання.</w:t>
      </w:r>
    </w:p>
    <w:p w14:paraId="242EE2D3" w14:textId="664AF0B2" w:rsidR="00CC548D" w:rsidRPr="004676F0" w:rsidRDefault="00CC548D">
      <w:pPr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35C08F0C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</w:pP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lastRenderedPageBreak/>
        <w:t>Повірка лічильника газу:</w:t>
      </w:r>
    </w:p>
    <w:p w14:paraId="373C8365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Для упевненості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в достовірності результатів вимірювання об'ємів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природного газу лічильники підлягають періодичній повірці, що проводиться протягом всього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періоду експлуатації лічильника через встановлений проміжок часу (міжповірочний інтервал). Для побутових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мембранних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лічильників газу встановлений міжповірочний інтервал 8 років.</w:t>
      </w:r>
    </w:p>
    <w:p w14:paraId="278990D6" w14:textId="0D3650DA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Відповідно до Закону України </w:t>
      </w:r>
      <w:r w:rsidR="00BA647C">
        <w:rPr>
          <w:rFonts w:ascii="Calibri" w:eastAsia="Times New Roman" w:hAnsi="Calibri" w:cs="Calibri"/>
          <w:sz w:val="24"/>
          <w:szCs w:val="24"/>
          <w:lang w:val="uk-UA" w:eastAsia="ru-RU"/>
        </w:rPr>
        <w:t>«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>Про метрологію та метрологічну діяльність</w:t>
      </w:r>
      <w:r w:rsidR="00BA647C">
        <w:rPr>
          <w:rFonts w:ascii="Calibri" w:eastAsia="Times New Roman" w:hAnsi="Calibri" w:cs="Calibri"/>
          <w:sz w:val="24"/>
          <w:szCs w:val="24"/>
          <w:lang w:val="uk-UA" w:eastAsia="ru-RU"/>
        </w:rPr>
        <w:t>»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на Операторів газорозподільних систем покладений обов'язок з проведення за власний рахунок періодичної повірки, а за необхідності і ремонту або заміни лічильників газу, встановлених у побутових споживачів (населення), незалежно від права власності на ці лічильники. Таким чином, всі роботи, починаючи з демонтажу лічильника з встановленням лічильника з обмінного фонду і закінчуючи зняттям обмінного лічильника і встановленням повіреного лічильника, виконуються Харківською міською філією ТОВ </w:t>
      </w:r>
      <w:r w:rsidR="00BA647C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«Газорозподільні мережі України» 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>безкоштовно для споживачів. Зауважуємо, що власне повірку лічильників проводить атестований персонал державних підприємств, акредитованих на право проведення повірки лічильників газу</w:t>
      </w:r>
    </w:p>
    <w:p w14:paraId="63861EBB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>У разі визнання лічильника за результатами повірки непридатним до застосування, Оператор ГРМ має за власний рахунок провести його ремонт, а у разі недоцільності ремонту лічильника - встановити споживачу інший лічильник, який залишиться у власності Оператора ГРМ, незалежно від права власності на забракований лічильник.</w:t>
      </w:r>
    </w:p>
    <w:p w14:paraId="2B55E698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Перед демонтажем лічильника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для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проведення повірки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проводиться його обстеження, під час якого перевіряються:</w:t>
      </w:r>
    </w:p>
    <w:p w14:paraId="197C15F6" w14:textId="77C88166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відповідність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маркування лічильника (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номер газового лічильника, завод-виробник, рік випуску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) обліковим даним Оператора ГРМ</w:t>
      </w:r>
      <w:r w:rsidR="00BA647C">
        <w:rPr>
          <w:rFonts w:eastAsia="Times New Roman" w:cstheme="minorHAnsi"/>
          <w:color w:val="000000"/>
          <w:sz w:val="24"/>
          <w:szCs w:val="24"/>
          <w:lang w:val="uk-UA" w:eastAsia="ru-RU"/>
        </w:rPr>
        <w:t>;</w:t>
      </w:r>
    </w:p>
    <w:p w14:paraId="48632F72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зовнішній вигляд лічильника, відсутність на ньому механічних пошкоджень;</w:t>
      </w:r>
    </w:p>
    <w:p w14:paraId="20200148" w14:textId="62192DD3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наявність, цілісність та відповідність номерів пломб на приєднувальних патрубках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, відліковому механізмі, корпусі лічильника, тощо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;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</w:t>
      </w:r>
    </w:p>
    <w:p w14:paraId="06DDEAF8" w14:textId="77777777" w:rsidR="00CC548D" w:rsidRPr="004676F0" w:rsidRDefault="004A63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– працездатність лічильника.</w:t>
      </w:r>
    </w:p>
    <w:p w14:paraId="0A8BEE55" w14:textId="77777777" w:rsidR="00CC548D" w:rsidRPr="004676F0" w:rsidRDefault="00CC54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3542FC3C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Якщо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порушень не виявлено, п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ісля зняття лічильника на повірку представники газорозподільної компанії складають і разом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зі споживачем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підписують «Акт про демонтаж лічильника газу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для проведення періодичної повірки».</w:t>
      </w:r>
    </w:p>
    <w:p w14:paraId="65D35CF7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У разі виявлення будь-яких порушень, складається акт про виявлені порушення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і подальші дії  проводяться відповідно до Кодексу ГРМ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.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Демонтований лічильник в присутності споживача, або його представника (особи, яка допустила представників Оператора ГРМ до лічильника газу), укладається в пакет і опломбовується одноразовою пломбою Оператора ГРМ для доставки до місця проведення експертизи лічильника. Номер пломби разом з іншими даними щодо лічильника вказується в Протоколі про направлення лічильника для проведення експертизи, який підписують представники Оператора ГРМ і споживач або йо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го представник.</w:t>
      </w:r>
    </w:p>
    <w:p w14:paraId="087F4E97" w14:textId="54102F84" w:rsidR="00CC548D" w:rsidRPr="00BA647C" w:rsidRDefault="004A634A" w:rsidP="00BA647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>Якщо термін повірки закінчився, а лічильник газу лишився не повіреним з вини споживача (споживач не допустив до свого приміщення, де розташований лічильник газу, для його демонтажу або монтажу, що зафіксовано актом відповідно до</w:t>
      </w: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Кодексу ГРМ), нарахування за спожитий природний газ такому споживачу проводиться за граничними нормами споживання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природного газу населенням з урахуванням усіх газових приладів і пристроїв за період з дня останнього контрольного зняття показань лічильника до дня забезпечення вільного доступу представникам Оператора ГРМ для монтажу/демонтажу лічильника газу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.</w:t>
      </w:r>
    </w:p>
    <w:p w14:paraId="22F43CDE" w14:textId="77777777" w:rsidR="004A634A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</w:pPr>
    </w:p>
    <w:p w14:paraId="16F6A3BE" w14:textId="65810D9D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>Позачергова та</w:t>
      </w: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 xml:space="preserve"> експертна </w:t>
      </w: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 xml:space="preserve">повірка </w:t>
      </w: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>лічильника:</w:t>
      </w:r>
    </w:p>
    <w:p w14:paraId="0EF45BEF" w14:textId="567E1170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676F0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Відповідно до Кодексу ГРМ, я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кщо під час перевірки комерційного ВОГ (за умови відсутності ознак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несанкціонованого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втручання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) між сторонами виникає сумнів щодо результатів вимірювання об’єму природного газу та/або метрологічних характеристик комерційного ВОГ чи його складових, за домовленістю сторін або за ініціативою однієї зі сторін – Оператора ГРМ чи споживача може бути ініційована їх позачергова чи експертна повірка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.</w:t>
      </w:r>
    </w:p>
    <w:p w14:paraId="4F77A43C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</w:pP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У цьому випадку п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ісля зняття ЗВТ в присутності сторін ЗВТ пакується в пакет з поліетилену чи з іншого цупкого матеріалу (або в транспортну тару, що передбачена заводом-виробником та зазначена в паспорті на ЗВТ), який опломбовується пломбою Оператора ГРМ з унікальним номером та за бажанням пломбою споживача. При цьому представник Оператора ГРМ складає протокол щодо направлення ЗВТ на позачергову чи експертну повірку (по одному екземпляру для кожної сторони)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, який мають підписати обидві сторони.</w:t>
      </w:r>
    </w:p>
    <w:p w14:paraId="3BE4656B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SimSun" w:hAnsi="Calibri" w:cs="Calibri"/>
          <w:sz w:val="24"/>
          <w:szCs w:val="24"/>
          <w:shd w:val="clear" w:color="auto" w:fill="FFFFFF"/>
          <w:lang w:val="uk-UA" w:eastAsia="ru-RU"/>
        </w:rPr>
      </w:pP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Позачергова або експертна повірка проводяться відповідно до Порядку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проведення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повірки законодавчо регульованих засобів вимірювальної техніки, що перебувають в експлуатації, та оформлення її результатів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, затвердженого Наказом Мінекономрозвитку України.</w:t>
      </w:r>
    </w:p>
    <w:p w14:paraId="4413889F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Якщо за результатами повірки лічильника не буде підтверджено факт його невідповідності нормативним документам з метрології, в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сі витрати, пов’язані з позачерговою або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експертною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повіркою лічильника покладаються на сторону, яка є ініціатором її проведення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.</w:t>
      </w:r>
    </w:p>
    <w:p w14:paraId="3C6D11EE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Якщо за результатами повірки лічильника буде підтверджено факт його невідповідності нормативним документам з метрології, в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сі витрати, пов’язані з позачерговою або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експертною 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повіркою лічильника покладаються на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власника лічильника.</w:t>
      </w:r>
    </w:p>
    <w:p w14:paraId="2E5921F2" w14:textId="77777777" w:rsidR="00992B5C" w:rsidRDefault="00992B5C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</w:pPr>
    </w:p>
    <w:p w14:paraId="3F55ACF4" w14:textId="29F16FC2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b/>
          <w:bCs/>
          <w:color w:val="000000"/>
          <w:sz w:val="28"/>
          <w:szCs w:val="28"/>
          <w:lang w:val="uk-UA" w:eastAsia="ru-RU"/>
        </w:rPr>
        <w:t>Експертиза лічильника:</w:t>
      </w:r>
    </w:p>
    <w:p w14:paraId="54D8F025" w14:textId="77777777" w:rsidR="00CC548D" w:rsidRPr="004676F0" w:rsidRDefault="004A634A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eastAsia="SimSun" w:hAnsi="Calibri" w:cs="Calibri"/>
          <w:shd w:val="clear" w:color="auto" w:fill="FFFFFF"/>
          <w:lang w:val="uk-UA"/>
        </w:rPr>
      </w:pPr>
      <w:r w:rsidRPr="004676F0">
        <w:rPr>
          <w:rFonts w:ascii="Calibri" w:hAnsi="Calibri" w:cs="Calibri"/>
          <w:lang w:val="uk-UA"/>
        </w:rPr>
        <w:t xml:space="preserve">Відповідно до Кодексу ГРМ, 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 xml:space="preserve">під час перевірки (обстеження) або при контрольному огляді вузла обліку 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 xml:space="preserve">(лічильника) 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 xml:space="preserve">за домовленістю сторін або ініціативою Оператора ГРМ чи споживача 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>може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 xml:space="preserve"> бу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>ти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 xml:space="preserve"> ініційована експертиза щодо перевірки пошкодження 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 xml:space="preserve">лічильника або 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 xml:space="preserve">пломб чи несанкціонованого втручання в роботу </w:t>
      </w:r>
      <w:r w:rsidRPr="004676F0">
        <w:rPr>
          <w:rFonts w:ascii="Calibri" w:eastAsia="SimSun" w:hAnsi="Calibri" w:cs="Calibri"/>
          <w:shd w:val="clear" w:color="auto" w:fill="FFFFFF"/>
          <w:lang w:val="uk-UA"/>
        </w:rPr>
        <w:t>лічильника.</w:t>
      </w:r>
    </w:p>
    <w:p w14:paraId="21819DAD" w14:textId="77777777" w:rsidR="00CC548D" w:rsidRPr="004676F0" w:rsidRDefault="00CC548D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eastAsia="SimSun" w:hAnsi="Calibri" w:cs="Calibri"/>
          <w:shd w:val="clear" w:color="auto" w:fill="FFFFFF"/>
          <w:lang w:val="uk-UA"/>
        </w:rPr>
      </w:pPr>
    </w:p>
    <w:p w14:paraId="048AAE59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</w:pP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У цьому випадку п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ісля зняття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лічильника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в присутності сторін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лічильник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пакується в пакет з поліетилену чи з іншого цупкого матеріалу, який опломбовується пломбою Оператора ГРМ з унікальним номером та за бажанням пломбою споживача. При цьому представник Оператора ГРМ складає протокол щодо направлення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лічильника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на експерт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из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у (по одному екземпляру для кожної сторони)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, який мають підписати обидві сторони.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Під час складання протоколу щодо направлення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лічильника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та/або пломби на експертизу сторона, яка ініціювала експертизу, визначає, ким буде здійснюватися така експертиза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-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коміс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ією з проведення експертизи ЗВТ та пломб, яка затверджується наказом Оператора ГРМ, або суб’єктом судово-експертної діяльності, діяльність якого регулюється </w:t>
      </w:r>
      <w:hyperlink r:id="rId6" w:tgtFrame="https://zakon.rada.gov.ua/laws/show/z1379-15/_blank" w:history="1">
        <w:r w:rsidRPr="004676F0">
          <w:rPr>
            <w:rStyle w:val="a3"/>
            <w:rFonts w:ascii="Calibri" w:eastAsia="SimSun" w:hAnsi="Calibri" w:cs="Calibri"/>
            <w:color w:val="auto"/>
            <w:sz w:val="24"/>
            <w:szCs w:val="24"/>
            <w:u w:val="none"/>
            <w:shd w:val="clear" w:color="auto" w:fill="FFFFFF"/>
            <w:lang w:val="uk-UA"/>
          </w:rPr>
          <w:t>Законом України</w:t>
        </w:r>
      </w:hyperlink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 «Про судову експертизу»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.</w:t>
      </w:r>
    </w:p>
    <w:p w14:paraId="574F3E29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</w:pP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У разі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ініціювання проведення експертизи Оператором ГРМ, у випадку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виявленн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я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під час перевірки або контрольного огляду вузла обліку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(лічильника)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ознак 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>несанкціонованого втручання в роботу або конструкцію лічильника,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представник Оператора ГРМ на місці перевірки складає у порядку, визначеному цим Кодексом, акт про порушення</w:t>
      </w: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t xml:space="preserve"> встановленої форми. Замість демонтованого для проведення експертизи лічильника  Оператор ГРМ має встановити лічильник з власного обмінного фонду.</w:t>
      </w:r>
    </w:p>
    <w:p w14:paraId="16107CB8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</w:pPr>
      <w:r w:rsidRPr="004676F0">
        <w:rPr>
          <w:rFonts w:ascii="Calibri" w:eastAsia="SimSun" w:hAnsi="Calibri" w:cs="Calibri"/>
          <w:sz w:val="24"/>
          <w:szCs w:val="24"/>
          <w:shd w:val="clear" w:color="auto" w:fill="FFFFFF"/>
          <w:lang w:val="uk-UA"/>
        </w:rPr>
        <w:lastRenderedPageBreak/>
        <w:t xml:space="preserve">Лічильник в опломбованому пакеті разом з протоколом і актом про порушення доставляється до місця проведення експертизи стороною (Оператором ГРМ або споживачем), яку визначив ініціатор проведення експертизи. </w:t>
      </w:r>
    </w:p>
    <w:p w14:paraId="118D5FCF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lang w:val="uk-UA"/>
        </w:rPr>
      </w:pPr>
      <w:r w:rsidRPr="004676F0">
        <w:rPr>
          <w:rFonts w:ascii="Calibri" w:hAnsi="Calibri" w:cs="Calibri"/>
          <w:shd w:val="clear" w:color="auto" w:fill="FFFFFF"/>
          <w:lang w:val="uk-UA"/>
        </w:rPr>
        <w:t xml:space="preserve">До складу </w:t>
      </w:r>
      <w:r w:rsidRPr="004676F0">
        <w:rPr>
          <w:rFonts w:ascii="Calibri" w:hAnsi="Calibri" w:cs="Calibri"/>
          <w:shd w:val="clear" w:color="auto" w:fill="FFFFFF"/>
          <w:lang w:val="uk-UA"/>
        </w:rPr>
        <w:t>комісі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ї Оператора ГРМ </w:t>
      </w:r>
      <w:r w:rsidRPr="004676F0">
        <w:rPr>
          <w:rFonts w:ascii="Calibri" w:hAnsi="Calibri" w:cs="Calibri"/>
          <w:shd w:val="clear" w:color="auto" w:fill="FFFFFF"/>
          <w:lang w:val="uk-UA"/>
        </w:rPr>
        <w:t>має входити не менше трьох представників Оператора ГРМ зі складу інженерно-технічного персоналу та юристів.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 </w:t>
      </w:r>
      <w:bookmarkStart w:id="0" w:name="n2136"/>
      <w:bookmarkEnd w:id="0"/>
      <w:r w:rsidRPr="004676F0">
        <w:rPr>
          <w:rFonts w:ascii="Calibri" w:hAnsi="Calibri" w:cs="Calibri"/>
          <w:shd w:val="clear" w:color="auto" w:fill="FFFFFF"/>
          <w:lang w:val="uk-UA"/>
        </w:rPr>
        <w:t xml:space="preserve">Крім того, Оператор ГРМ офіційним листом має запросити для участі на постійній основі у складі комісії по одному уповноваженому представнику від метрологічної організації та територіального органу </w:t>
      </w:r>
      <w:r w:rsidRPr="004676F0">
        <w:rPr>
          <w:rFonts w:ascii="Calibri" w:hAnsi="Calibri" w:cs="Calibri"/>
          <w:shd w:val="clear" w:color="auto" w:fill="FFFFFF"/>
          <w:lang w:val="uk-UA"/>
        </w:rPr>
        <w:t>НКРЕКП</w:t>
      </w:r>
      <w:r w:rsidRPr="004676F0">
        <w:rPr>
          <w:rFonts w:ascii="Calibri" w:hAnsi="Calibri" w:cs="Calibri"/>
          <w:shd w:val="clear" w:color="auto" w:fill="FFFFFF"/>
          <w:lang w:val="uk-UA"/>
        </w:rPr>
        <w:t>.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 </w:t>
      </w:r>
      <w:r w:rsidRPr="004676F0">
        <w:rPr>
          <w:rFonts w:ascii="Calibri" w:hAnsi="Calibri" w:cs="Calibri"/>
          <w:shd w:val="clear" w:color="auto" w:fill="FFFFFF"/>
          <w:lang w:val="uk-UA"/>
        </w:rPr>
        <w:t>У разі відмови метрологічної служби або територіального органу Регулятора в делегуванні свого представника для участі на постійній основі у складі комісії комісія створюється без учас</w:t>
      </w:r>
      <w:r w:rsidRPr="004676F0">
        <w:rPr>
          <w:rFonts w:ascii="Calibri" w:hAnsi="Calibri" w:cs="Calibri"/>
          <w:shd w:val="clear" w:color="auto" w:fill="FFFFFF"/>
          <w:lang w:val="uk-UA"/>
        </w:rPr>
        <w:t>ті таких представників.</w:t>
      </w:r>
    </w:p>
    <w:p w14:paraId="77A14E2E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lang w:val="uk-UA"/>
        </w:rPr>
      </w:pPr>
      <w:bookmarkStart w:id="1" w:name="n2138"/>
      <w:bookmarkEnd w:id="1"/>
      <w:r w:rsidRPr="004676F0">
        <w:rPr>
          <w:rFonts w:ascii="Calibri" w:hAnsi="Calibri" w:cs="Calibri"/>
          <w:shd w:val="clear" w:color="auto" w:fill="FFFFFF"/>
          <w:lang w:val="uk-UA"/>
        </w:rPr>
        <w:t>Остаточний склад комісії з проведення експертизи ЗВТ та пломб затверджується наказом Оператора ГРМ.</w:t>
      </w:r>
    </w:p>
    <w:p w14:paraId="02412D95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lang w:val="uk-UA"/>
        </w:rPr>
      </w:pPr>
      <w:bookmarkStart w:id="2" w:name="n2139"/>
      <w:bookmarkEnd w:id="2"/>
      <w:r w:rsidRPr="004676F0">
        <w:rPr>
          <w:rFonts w:ascii="Calibri" w:hAnsi="Calibri" w:cs="Calibri"/>
          <w:shd w:val="clear" w:color="auto" w:fill="FFFFFF"/>
          <w:lang w:val="uk-UA"/>
        </w:rPr>
        <w:t xml:space="preserve">За вимогою однієї зі сторін в конкретному випадку 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до проведення експертизи 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можуть бути додатково залучені представники виробника </w:t>
      </w:r>
      <w:r w:rsidRPr="004676F0">
        <w:rPr>
          <w:rFonts w:ascii="Calibri" w:hAnsi="Calibri" w:cs="Calibri"/>
          <w:shd w:val="clear" w:color="auto" w:fill="FFFFFF"/>
          <w:lang w:val="uk-UA"/>
        </w:rPr>
        <w:t>лічильника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 чи виробника пломби</w:t>
      </w:r>
      <w:r w:rsidRPr="004676F0">
        <w:rPr>
          <w:rFonts w:ascii="Calibri" w:hAnsi="Calibri" w:cs="Calibri"/>
          <w:shd w:val="clear" w:color="auto" w:fill="FFFFFF"/>
          <w:lang w:val="uk-UA"/>
        </w:rPr>
        <w:t>.</w:t>
      </w:r>
    </w:p>
    <w:p w14:paraId="197E4BC7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lang w:val="uk-UA"/>
        </w:rPr>
      </w:pPr>
      <w:r w:rsidRPr="004676F0">
        <w:rPr>
          <w:rFonts w:ascii="Calibri" w:hAnsi="Calibri" w:cs="Calibri"/>
          <w:shd w:val="clear" w:color="auto" w:fill="FFFFFF"/>
          <w:lang w:val="uk-UA"/>
        </w:rPr>
        <w:t>Споживач зобов’язаний бути присутнім під час проведення експертизи.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 </w:t>
      </w:r>
      <w:bookmarkStart w:id="3" w:name="n2141"/>
      <w:bookmarkEnd w:id="3"/>
      <w:r w:rsidRPr="004676F0">
        <w:rPr>
          <w:rFonts w:ascii="Calibri" w:hAnsi="Calibri" w:cs="Calibri"/>
          <w:shd w:val="clear" w:color="auto" w:fill="FFFFFF"/>
          <w:lang w:val="uk-UA"/>
        </w:rPr>
        <w:t>За неможливості бути присутнім під час проведення експертизи споживач  може дати письмову згоду у довільній формі на проведення експертизи без його присутності або у присутності уповноваженої ним іншої особи.</w:t>
      </w:r>
    </w:p>
    <w:p w14:paraId="1D2DCFF0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hd w:val="clear" w:color="auto" w:fill="FFFFFF"/>
          <w:lang w:val="uk-UA"/>
        </w:rPr>
      </w:pPr>
      <w:bookmarkStart w:id="4" w:name="n2142"/>
      <w:bookmarkEnd w:id="4"/>
      <w:r w:rsidRPr="004676F0">
        <w:rPr>
          <w:rFonts w:ascii="Calibri" w:hAnsi="Calibri" w:cs="Calibri"/>
          <w:shd w:val="clear" w:color="auto" w:fill="FFFFFF"/>
          <w:lang w:val="uk-UA"/>
        </w:rPr>
        <w:t>У разі неприбуття споживача та/або уповноваженої ним особи на експертизу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, 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проведення експертизи 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лічильника </w:t>
      </w:r>
      <w:r w:rsidRPr="004676F0">
        <w:rPr>
          <w:rFonts w:ascii="Calibri" w:hAnsi="Calibri" w:cs="Calibri"/>
          <w:shd w:val="clear" w:color="auto" w:fill="FFFFFF"/>
          <w:lang w:val="uk-UA"/>
        </w:rPr>
        <w:t>та/або пломби проводиться без його участі.</w:t>
      </w:r>
    </w:p>
    <w:p w14:paraId="018EEEFA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hd w:val="clear" w:color="auto" w:fill="FFFFFF"/>
          <w:lang w:val="uk-UA"/>
        </w:rPr>
      </w:pPr>
      <w:r w:rsidRPr="004676F0">
        <w:rPr>
          <w:rFonts w:ascii="Calibri" w:hAnsi="Calibri" w:cs="Calibri"/>
          <w:shd w:val="clear" w:color="auto" w:fill="FFFFFF"/>
          <w:lang w:val="uk-UA"/>
        </w:rPr>
        <w:t>Після проведення огляду лічильника, перевірки наявності порушень, зазначених в Акті по порушення, проводиться позачергова повірка лічильника.</w:t>
      </w:r>
    </w:p>
    <w:p w14:paraId="6372968E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lang w:val="uk-UA"/>
        </w:rPr>
      </w:pPr>
      <w:r w:rsidRPr="004676F0">
        <w:rPr>
          <w:rFonts w:ascii="Calibri" w:hAnsi="Calibri" w:cs="Calibri"/>
          <w:shd w:val="clear" w:color="auto" w:fill="FFFFFF"/>
          <w:lang w:val="uk-UA"/>
        </w:rPr>
        <w:t xml:space="preserve">Результати </w:t>
      </w:r>
      <w:r w:rsidRPr="004676F0">
        <w:rPr>
          <w:rFonts w:ascii="Calibri" w:hAnsi="Calibri" w:cs="Calibri"/>
          <w:shd w:val="clear" w:color="auto" w:fill="FFFFFF"/>
          <w:lang w:val="uk-UA"/>
        </w:rPr>
        <w:t>експертизи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 фіксуються в </w:t>
      </w:r>
      <w:r w:rsidRPr="004676F0">
        <w:rPr>
          <w:rFonts w:ascii="Calibri" w:hAnsi="Calibri" w:cs="Calibri"/>
          <w:shd w:val="clear" w:color="auto" w:fill="FFFFFF"/>
          <w:lang w:val="uk-UA"/>
        </w:rPr>
        <w:t>А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кті експертизи. Акт експертизи підписується всіма членами комісії, а також споживачем або його уповноваженою особою. Якщо </w:t>
      </w:r>
      <w:r w:rsidRPr="004676F0">
        <w:rPr>
          <w:rFonts w:ascii="Calibri" w:hAnsi="Calibri" w:cs="Calibri"/>
          <w:shd w:val="clear" w:color="auto" w:fill="FFFFFF"/>
          <w:lang w:val="uk-UA"/>
        </w:rPr>
        <w:t>споживач або його уповноважена особа чи член комісії мають окрему думку з приводу експертизи, вона має бути відображена в акті експертизи.</w:t>
      </w:r>
    </w:p>
    <w:p w14:paraId="3E06A618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lang w:val="uk-UA"/>
        </w:rPr>
      </w:pPr>
      <w:bookmarkStart w:id="5" w:name="n2160"/>
      <w:bookmarkEnd w:id="5"/>
      <w:r w:rsidRPr="004676F0">
        <w:rPr>
          <w:rFonts w:ascii="Calibri" w:hAnsi="Calibri" w:cs="Calibri"/>
          <w:shd w:val="clear" w:color="auto" w:fill="FFFFFF"/>
          <w:lang w:val="uk-UA"/>
        </w:rPr>
        <w:t>У разі відмови від підпису будь-кого з членів комісії або споживача чи уповноваженої ним особи в акті експертизи про це робиться відповідний запис.</w:t>
      </w:r>
    </w:p>
    <w:p w14:paraId="201ECA3A" w14:textId="77777777" w:rsidR="00CC548D" w:rsidRPr="004676F0" w:rsidRDefault="004A634A">
      <w:pPr>
        <w:pStyle w:val="a5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lang w:val="uk-UA"/>
        </w:rPr>
      </w:pPr>
      <w:bookmarkStart w:id="6" w:name="n2161"/>
      <w:bookmarkEnd w:id="6"/>
      <w:r w:rsidRPr="004676F0">
        <w:rPr>
          <w:rFonts w:ascii="Calibri" w:hAnsi="Calibri" w:cs="Calibri"/>
          <w:shd w:val="clear" w:color="auto" w:fill="FFFFFF"/>
          <w:lang w:val="uk-UA"/>
        </w:rPr>
        <w:t>Акт експертизи реєструється у журналі реєстрації актів експертизи Оператора ГРМ. Журнал повинен бути прошитий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 і</w:t>
      </w:r>
      <w:r w:rsidRPr="004676F0">
        <w:rPr>
          <w:rFonts w:ascii="Calibri" w:hAnsi="Calibri" w:cs="Calibri"/>
          <w:shd w:val="clear" w:color="auto" w:fill="FFFFFF"/>
          <w:lang w:val="uk-UA"/>
        </w:rPr>
        <w:t xml:space="preserve"> скріплений печаткою (за наявності) Оператора ГРМ.</w:t>
      </w:r>
    </w:p>
    <w:p w14:paraId="5840CEF0" w14:textId="77777777" w:rsidR="00CC548D" w:rsidRPr="004676F0" w:rsidRDefault="00CC548D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</w:p>
    <w:p w14:paraId="494FAC0C" w14:textId="77777777" w:rsidR="00CC548D" w:rsidRPr="004676F0" w:rsidRDefault="004A634A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uk-UA" w:eastAsia="ru-RU"/>
        </w:rPr>
      </w:pP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>Більш</w:t>
      </w:r>
      <w:r w:rsidRPr="004676F0">
        <w:rPr>
          <w:rFonts w:eastAsia="Times New Roman" w:cstheme="minorHAnsi"/>
          <w:color w:val="000000"/>
          <w:sz w:val="24"/>
          <w:szCs w:val="24"/>
          <w:lang w:val="uk-UA" w:eastAsia="ru-RU"/>
        </w:rPr>
        <w:t xml:space="preserve"> детальні відомості з цих і інших питань можна знайти в нормативних документах, які згадуються в тексті.</w:t>
      </w:r>
    </w:p>
    <w:sectPr w:rsidR="00CC548D" w:rsidRPr="00467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83D37" w14:textId="77777777" w:rsidR="00CC548D" w:rsidRDefault="004A634A">
      <w:pPr>
        <w:spacing w:line="240" w:lineRule="auto"/>
      </w:pPr>
      <w:r>
        <w:separator/>
      </w:r>
    </w:p>
  </w:endnote>
  <w:endnote w:type="continuationSeparator" w:id="0">
    <w:p w14:paraId="399E4BD4" w14:textId="77777777" w:rsidR="00CC548D" w:rsidRDefault="004A6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8208E" w14:textId="77777777" w:rsidR="00CC548D" w:rsidRDefault="004A634A">
      <w:pPr>
        <w:spacing w:after="0"/>
      </w:pPr>
      <w:r>
        <w:separator/>
      </w:r>
    </w:p>
  </w:footnote>
  <w:footnote w:type="continuationSeparator" w:id="0">
    <w:p w14:paraId="5AF6F452" w14:textId="77777777" w:rsidR="00CC548D" w:rsidRDefault="004A63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91"/>
    <w:rsid w:val="000F6773"/>
    <w:rsid w:val="002E4091"/>
    <w:rsid w:val="00365F93"/>
    <w:rsid w:val="004676F0"/>
    <w:rsid w:val="004A634A"/>
    <w:rsid w:val="005D2EE3"/>
    <w:rsid w:val="00992B5C"/>
    <w:rsid w:val="00BA647C"/>
    <w:rsid w:val="00C52520"/>
    <w:rsid w:val="00CC548D"/>
    <w:rsid w:val="00E97909"/>
    <w:rsid w:val="00EA2BAE"/>
    <w:rsid w:val="19B1145A"/>
    <w:rsid w:val="21194E91"/>
    <w:rsid w:val="470F3618"/>
    <w:rsid w:val="536F50F0"/>
    <w:rsid w:val="645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9F"/>
  <w15:docId w15:val="{F2F03805-B691-4FD7-B174-F7F2FB35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038-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9119</Words>
  <Characters>5199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Дар'я Петріга</cp:lastModifiedBy>
  <cp:revision>11</cp:revision>
  <dcterms:created xsi:type="dcterms:W3CDTF">2024-01-23T14:10:00Z</dcterms:created>
  <dcterms:modified xsi:type="dcterms:W3CDTF">2024-07-30T06:23:00Z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E9165DB73B3B4DA198AFE54AAEF1018F_13</vt:lpwstr>
  </property>
</Properties>
</file>