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36D9" w14:textId="77777777" w:rsidR="0070385F" w:rsidRPr="0070385F" w:rsidRDefault="0070385F" w:rsidP="0070385F">
      <w:pPr>
        <w:pStyle w:val="a9"/>
        <w:rPr>
          <w:rFonts w:asciiTheme="minorHAnsi" w:eastAsia="Times New Roman" w:hAnsiTheme="minorHAnsi" w:cstheme="minorHAnsi"/>
          <w:b/>
          <w:bCs/>
          <w:lang w:val="uk-UA" w:eastAsia="ru-RU"/>
        </w:rPr>
      </w:pPr>
      <w:r w:rsidRPr="0070385F">
        <w:rPr>
          <w:rFonts w:asciiTheme="minorHAnsi" w:eastAsia="Times New Roman" w:hAnsiTheme="minorHAnsi" w:cstheme="minorHAnsi"/>
          <w:b/>
          <w:bCs/>
          <w:lang w:val="uk-UA" w:eastAsia="ru-RU"/>
        </w:rPr>
        <w:t>Порядок розгляду звернень громадян</w:t>
      </w:r>
    </w:p>
    <w:p w14:paraId="5E3614B9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</w:p>
    <w:p w14:paraId="5BC5DAA4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Cs/>
          <w:sz w:val="28"/>
          <w:szCs w:val="28"/>
          <w:bdr w:val="none" w:sz="0" w:space="0" w:color="auto" w:frame="1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Відповідно до законодавства України споживачі послуг мають право звернутися до Оператора ГРМ із зауваженнями, скаргами та пропозиціями, що стосуються його статутної діяльності, заявою або клопотанням щодо реалізації своїх соціально-економічних, особистих прав і законних інтересів та скаргою про їх порушення. Форма, порядок подання та терміни розгляду звернень урегульовані Законами України </w:t>
      </w:r>
      <w:hyperlink r:id="rId5" w:history="1">
        <w:r w:rsidRPr="0070385F">
          <w:rPr>
            <w:rFonts w:eastAsia="Times New Roman" w:cstheme="minorHAnsi"/>
            <w:iCs/>
            <w:sz w:val="28"/>
            <w:szCs w:val="28"/>
            <w:bdr w:val="none" w:sz="0" w:space="0" w:color="auto" w:frame="1"/>
            <w:lang w:val="uk-UA" w:eastAsia="ru-RU"/>
          </w:rPr>
          <w:t>«Про звернення громадян»</w:t>
        </w:r>
      </w:hyperlink>
      <w:r w:rsidRPr="0070385F">
        <w:rPr>
          <w:rFonts w:eastAsia="Times New Roman" w:cstheme="minorHAnsi"/>
          <w:sz w:val="28"/>
          <w:szCs w:val="28"/>
          <w:lang w:val="uk-UA" w:eastAsia="ru-RU"/>
        </w:rPr>
        <w:t>, </w:t>
      </w:r>
      <w:hyperlink r:id="rId6" w:history="1">
        <w:r w:rsidRPr="0070385F">
          <w:rPr>
            <w:rFonts w:eastAsia="Times New Roman" w:cstheme="minorHAnsi"/>
            <w:iCs/>
            <w:sz w:val="28"/>
            <w:szCs w:val="28"/>
            <w:bdr w:val="none" w:sz="0" w:space="0" w:color="auto" w:frame="1"/>
            <w:lang w:val="uk-UA" w:eastAsia="ru-RU"/>
          </w:rPr>
          <w:t>«Про доступ до публічної інформації»</w:t>
        </w:r>
      </w:hyperlink>
      <w:r w:rsidRPr="0070385F">
        <w:rPr>
          <w:rFonts w:eastAsia="Times New Roman" w:cstheme="minorHAnsi"/>
          <w:sz w:val="28"/>
          <w:szCs w:val="28"/>
          <w:lang w:val="uk-UA" w:eastAsia="ru-RU"/>
        </w:rPr>
        <w:t> та </w:t>
      </w:r>
      <w:hyperlink r:id="rId7" w:history="1">
        <w:r w:rsidRPr="0070385F">
          <w:rPr>
            <w:rFonts w:eastAsia="Times New Roman" w:cstheme="minorHAnsi"/>
            <w:iCs/>
            <w:sz w:val="28"/>
            <w:szCs w:val="28"/>
            <w:bdr w:val="none" w:sz="0" w:space="0" w:color="auto" w:frame="1"/>
            <w:lang w:val="uk-UA" w:eastAsia="ru-RU"/>
          </w:rPr>
          <w:t>«Про захист прав споживачів».</w:t>
        </w:r>
      </w:hyperlink>
    </w:p>
    <w:p w14:paraId="5061B2D3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iCs/>
          <w:sz w:val="28"/>
          <w:szCs w:val="28"/>
          <w:bdr w:val="none" w:sz="0" w:space="0" w:color="auto" w:frame="1"/>
          <w:lang w:val="uk-UA" w:eastAsia="ru-RU"/>
        </w:rPr>
      </w:pPr>
    </w:p>
    <w:p w14:paraId="4F161C0C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b/>
          <w:sz w:val="28"/>
          <w:szCs w:val="28"/>
          <w:lang w:val="uk-UA"/>
        </w:rPr>
        <w:t>Форма звернень</w:t>
      </w:r>
    </w:p>
    <w:p w14:paraId="1E3ED892" w14:textId="229D8F59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Згідно ст. 5 Закону України </w:t>
      </w:r>
      <w:hyperlink r:id="rId8" w:history="1">
        <w:r w:rsidRPr="0070385F">
          <w:rPr>
            <w:rFonts w:asciiTheme="minorHAnsi" w:hAnsiTheme="minorHAnsi" w:cstheme="minorHAnsi"/>
            <w:iCs/>
            <w:sz w:val="28"/>
            <w:szCs w:val="28"/>
            <w:bdr w:val="none" w:sz="0" w:space="0" w:color="auto" w:frame="1"/>
            <w:lang w:val="uk-UA"/>
          </w:rPr>
          <w:t>«Про звернення громадян»</w:t>
        </w:r>
      </w:hyperlink>
      <w:r w:rsidRPr="0070385F">
        <w:rPr>
          <w:rFonts w:asciiTheme="minorHAnsi" w:hAnsiTheme="minorHAnsi" w:cstheme="minorHAnsi"/>
          <w:iCs/>
          <w:sz w:val="28"/>
          <w:szCs w:val="28"/>
          <w:bdr w:val="none" w:sz="0" w:space="0" w:color="auto" w:frame="1"/>
          <w:lang w:val="uk-UA"/>
        </w:rPr>
        <w:t xml:space="preserve"> з</w:t>
      </w:r>
      <w:r w:rsidRPr="0070385F">
        <w:rPr>
          <w:rFonts w:asciiTheme="minorHAnsi" w:hAnsiTheme="minorHAnsi" w:cstheme="minorHAnsi"/>
          <w:sz w:val="28"/>
          <w:szCs w:val="28"/>
          <w:lang w:val="uk-UA"/>
        </w:rPr>
        <w:t>вернення може  бути:</w:t>
      </w:r>
    </w:p>
    <w:p w14:paraId="6C071534" w14:textId="55160DD8" w:rsidR="0070385F" w:rsidRPr="0070385F" w:rsidRDefault="003062D3" w:rsidP="003062D3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cstheme="minorHAnsi"/>
          <w:sz w:val="28"/>
          <w:szCs w:val="28"/>
          <w:lang w:val="uk-UA"/>
        </w:rPr>
      </w:pPr>
      <w:r w:rsidRPr="0070385F">
        <w:rPr>
          <w:rFonts w:cstheme="minorHAnsi"/>
          <w:sz w:val="28"/>
          <w:szCs w:val="28"/>
          <w:lang w:val="uk-UA"/>
        </w:rPr>
        <w:t>У</w:t>
      </w:r>
      <w:r w:rsidR="0070385F" w:rsidRPr="0070385F">
        <w:rPr>
          <w:rFonts w:cstheme="minorHAnsi"/>
          <w:sz w:val="28"/>
          <w:szCs w:val="28"/>
          <w:lang w:val="uk-UA"/>
        </w:rPr>
        <w:t>сне</w:t>
      </w:r>
      <w:r>
        <w:rPr>
          <w:rFonts w:cstheme="minorHAnsi"/>
          <w:sz w:val="28"/>
          <w:szCs w:val="28"/>
          <w:lang w:val="uk-UA"/>
        </w:rPr>
        <w:t xml:space="preserve"> </w:t>
      </w:r>
      <w:r w:rsidR="0070385F" w:rsidRPr="0070385F">
        <w:rPr>
          <w:rFonts w:cstheme="minorHAnsi"/>
          <w:sz w:val="28"/>
          <w:szCs w:val="28"/>
          <w:lang w:val="uk-UA"/>
        </w:rPr>
        <w:t xml:space="preserve">(викладене  заявником на прийомі у Центрі обслуговування клієнтів); </w:t>
      </w:r>
    </w:p>
    <w:p w14:paraId="66C5669F" w14:textId="1DB57354" w:rsidR="0070385F" w:rsidRPr="0070385F" w:rsidRDefault="003062D3" w:rsidP="003062D3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cstheme="minorHAnsi"/>
          <w:sz w:val="28"/>
          <w:szCs w:val="28"/>
          <w:lang w:val="uk-UA"/>
        </w:rPr>
      </w:pPr>
      <w:r w:rsidRPr="0070385F">
        <w:rPr>
          <w:rFonts w:cstheme="minorHAnsi"/>
          <w:sz w:val="28"/>
          <w:szCs w:val="28"/>
          <w:lang w:val="uk-UA"/>
        </w:rPr>
        <w:t>П</w:t>
      </w:r>
      <w:r w:rsidR="0070385F" w:rsidRPr="0070385F">
        <w:rPr>
          <w:rFonts w:cstheme="minorHAnsi"/>
          <w:sz w:val="28"/>
          <w:szCs w:val="28"/>
          <w:lang w:val="uk-UA"/>
        </w:rPr>
        <w:t>исьмов</w:t>
      </w:r>
      <w:r>
        <w:rPr>
          <w:rFonts w:cstheme="minorHAnsi"/>
          <w:sz w:val="28"/>
          <w:szCs w:val="28"/>
          <w:lang w:val="uk-UA"/>
        </w:rPr>
        <w:t xml:space="preserve">е </w:t>
      </w:r>
      <w:r w:rsidR="0070385F" w:rsidRPr="0070385F">
        <w:rPr>
          <w:rFonts w:cstheme="minorHAnsi"/>
          <w:sz w:val="28"/>
          <w:szCs w:val="28"/>
          <w:lang w:val="uk-UA"/>
        </w:rPr>
        <w:t xml:space="preserve">(надіслане поштою за адресою: </w:t>
      </w:r>
      <w:r w:rsidR="0070385F">
        <w:rPr>
          <w:rFonts w:cstheme="minorHAnsi"/>
          <w:sz w:val="28"/>
          <w:szCs w:val="28"/>
          <w:lang w:val="uk-UA"/>
        </w:rPr>
        <w:t>Україна, 61004, м. Харків, вул. </w:t>
      </w:r>
      <w:proofErr w:type="spellStart"/>
      <w:r w:rsidR="0070385F">
        <w:rPr>
          <w:rFonts w:cstheme="minorHAnsi"/>
          <w:sz w:val="28"/>
          <w:szCs w:val="28"/>
          <w:lang w:val="uk-UA"/>
        </w:rPr>
        <w:t>Москалівська</w:t>
      </w:r>
      <w:proofErr w:type="spellEnd"/>
      <w:r w:rsidR="0070385F">
        <w:rPr>
          <w:rFonts w:cstheme="minorHAnsi"/>
          <w:sz w:val="28"/>
          <w:szCs w:val="28"/>
          <w:lang w:val="uk-UA"/>
        </w:rPr>
        <w:t xml:space="preserve">, 57/59 або </w:t>
      </w:r>
      <w:r w:rsidR="0070385F" w:rsidRPr="0070385F">
        <w:rPr>
          <w:rFonts w:cstheme="minorHAnsi"/>
          <w:sz w:val="28"/>
          <w:szCs w:val="28"/>
          <w:lang w:val="uk-UA"/>
        </w:rPr>
        <w:t>надане особисто чи через уповноважену особу до найближчого Центру обслуговування клієнтів</w:t>
      </w:r>
      <w:r w:rsidR="0070385F">
        <w:rPr>
          <w:rFonts w:cstheme="minorHAnsi"/>
          <w:sz w:val="28"/>
          <w:szCs w:val="28"/>
          <w:lang w:val="uk-UA"/>
        </w:rPr>
        <w:t>)</w:t>
      </w:r>
      <w:r w:rsidR="0070385F" w:rsidRPr="0070385F">
        <w:rPr>
          <w:rFonts w:cstheme="minorHAnsi"/>
          <w:sz w:val="28"/>
          <w:szCs w:val="28"/>
          <w:lang w:val="uk-UA"/>
        </w:rPr>
        <w:t>.</w:t>
      </w:r>
    </w:p>
    <w:p w14:paraId="3DFECFFB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iCs/>
          <w:sz w:val="28"/>
          <w:szCs w:val="28"/>
          <w:bdr w:val="none" w:sz="0" w:space="0" w:color="auto" w:frame="1"/>
          <w:lang w:val="uk-UA" w:eastAsia="ru-RU"/>
        </w:rPr>
      </w:pPr>
    </w:p>
    <w:p w14:paraId="737DB170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iCs/>
          <w:sz w:val="28"/>
          <w:szCs w:val="28"/>
          <w:bdr w:val="none" w:sz="0" w:space="0" w:color="auto" w:frame="1"/>
          <w:lang w:val="uk-UA" w:eastAsia="ru-RU"/>
        </w:rPr>
      </w:pPr>
      <w:r w:rsidRPr="0070385F">
        <w:rPr>
          <w:rFonts w:eastAsia="Times New Roman" w:cstheme="minorHAnsi"/>
          <w:b/>
          <w:iCs/>
          <w:sz w:val="28"/>
          <w:szCs w:val="28"/>
          <w:bdr w:val="none" w:sz="0" w:space="0" w:color="auto" w:frame="1"/>
          <w:lang w:val="uk-UA" w:eastAsia="ru-RU"/>
        </w:rPr>
        <w:t>Порядок подання звернень</w:t>
      </w:r>
    </w:p>
    <w:p w14:paraId="380D0D0D" w14:textId="77777777" w:rsidR="0070385F" w:rsidRPr="0070385F" w:rsidRDefault="0070385F" w:rsidP="003062D3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Усне звернення викладається громадянином на особистому прийомі або за допомогою засобів телефонного зв’язку через визначені контактні центри, телефонні "гарячі лінії" та записується (реєструється) посадовою особою.</w:t>
      </w:r>
    </w:p>
    <w:p w14:paraId="67BA6CD5" w14:textId="77777777" w:rsidR="0070385F" w:rsidRPr="0070385F" w:rsidRDefault="0070385F" w:rsidP="003062D3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Письмове звернення надсилається поштою або передається громадянином до відповідного органу, установи особисто чи через уповноважену ним особу, повноваження якої оформлені відповідно до законодавства. Письмове звернення також може бути надіслане з використанням мережі Інтернет, засобів електронного зв’язку (електронне звернення).</w:t>
      </w:r>
    </w:p>
    <w:p w14:paraId="75EE21A9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</w:p>
    <w:p w14:paraId="4B8E3B04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b/>
          <w:sz w:val="28"/>
          <w:szCs w:val="28"/>
          <w:lang w:val="uk-UA" w:eastAsia="ru-RU"/>
        </w:rPr>
        <w:t>Вимоги до звернень</w:t>
      </w:r>
    </w:p>
    <w:p w14:paraId="2A7AF494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У зверненні має бути зазначено прізвище, ім’я, по батькові, місце проживання громадянина, викладено суть порушеного питання, зауваження, пропозиції, </w:t>
      </w:r>
      <w:r w:rsidRPr="0070385F">
        <w:rPr>
          <w:rFonts w:eastAsia="Times New Roman" w:cstheme="minorHAnsi"/>
          <w:sz w:val="28"/>
          <w:szCs w:val="28"/>
          <w:lang w:val="uk-UA" w:eastAsia="ru-RU"/>
        </w:rPr>
        <w:lastRenderedPageBreak/>
        <w:t>заяви чи скарги, прохання чи вимоги. Письмове звернення повинно бути підписано заявником (заявниками) із зазначенням дати. В електронному зверненні також має бути зазначено електронну поштову адресу, на яку заявнику може бути надіслано відповідь, або відомості про інші засоби зв’язку з ним. Застосування електронного цифрового підпису при надсиланні електронного звернення не вимагається.</w:t>
      </w:r>
    </w:p>
    <w:p w14:paraId="4A05895D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Звернення, оформлене без дотримання цих вимог, повертається заявникові з відповідними роз'ясненнями не пізніше як через 10 днів від дня його надходження.</w:t>
      </w:r>
    </w:p>
    <w:p w14:paraId="51738615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</w:p>
    <w:p w14:paraId="57EBB08A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b/>
          <w:sz w:val="28"/>
          <w:szCs w:val="28"/>
          <w:lang w:val="uk-UA" w:eastAsia="ru-RU"/>
        </w:rPr>
        <w:t>Коли звернення не підлягають розгляду</w:t>
      </w:r>
    </w:p>
    <w:p w14:paraId="07E080F8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</w:t>
      </w:r>
    </w:p>
    <w:p w14:paraId="4AC04D9C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Не розглядаються повторні звернення одним і тим же органом від одного і того ж громадянина з одного і того ж питання, якщо перше вирішене по суті.</w:t>
      </w:r>
    </w:p>
    <w:p w14:paraId="4E6E3742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 xml:space="preserve">Не розглядаються скарги, </w:t>
      </w:r>
      <w:r w:rsidRPr="0070385F">
        <w:rPr>
          <w:rFonts w:asciiTheme="minorHAnsi" w:hAnsiTheme="minorHAnsi" w:cstheme="minorHAnsi"/>
          <w:sz w:val="28"/>
          <w:szCs w:val="28"/>
          <w:shd w:val="clear" w:color="auto" w:fill="FFFFFF"/>
          <w:lang w:val="uk-UA"/>
        </w:rPr>
        <w:t>подані з порушенням термінів, зазначених у ст. 17 Закону України «Про звернення громадян»</w:t>
      </w:r>
      <w:r w:rsidRPr="0070385F">
        <w:rPr>
          <w:rFonts w:asciiTheme="minorHAnsi" w:hAnsiTheme="minorHAnsi" w:cstheme="minorHAnsi"/>
          <w:sz w:val="28"/>
          <w:szCs w:val="28"/>
          <w:lang w:val="uk-UA"/>
        </w:rPr>
        <w:t>, а також звернення осіб, визнаних судом недієздатними.</w:t>
      </w:r>
    </w:p>
    <w:p w14:paraId="754AB3CB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Рішення про припинення розгляду такого звернення приймає керівник органу, про що повідомляється особі, яка подала звернення.</w:t>
      </w:r>
    </w:p>
    <w:p w14:paraId="4DE06443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cstheme="minorHAnsi"/>
          <w:sz w:val="28"/>
          <w:szCs w:val="28"/>
          <w:lang w:val="uk-UA"/>
        </w:rPr>
      </w:pPr>
    </w:p>
    <w:p w14:paraId="34733F5F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cstheme="minorHAnsi"/>
          <w:b/>
          <w:sz w:val="28"/>
          <w:szCs w:val="28"/>
          <w:lang w:val="uk-UA"/>
        </w:rPr>
      </w:pPr>
      <w:r w:rsidRPr="0070385F">
        <w:rPr>
          <w:rFonts w:cstheme="minorHAnsi"/>
          <w:b/>
          <w:sz w:val="28"/>
          <w:szCs w:val="28"/>
          <w:lang w:val="uk-UA"/>
        </w:rPr>
        <w:t>Терміни розгляду звернень</w:t>
      </w:r>
    </w:p>
    <w:p w14:paraId="445301F8" w14:textId="77777777" w:rsidR="0070385F" w:rsidRPr="003062D3" w:rsidRDefault="0070385F" w:rsidP="003062D3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3062D3">
        <w:rPr>
          <w:rFonts w:eastAsia="Times New Roman" w:cstheme="minorHAnsi"/>
          <w:sz w:val="28"/>
          <w:szCs w:val="28"/>
          <w:lang w:val="uk-UA" w:eastAsia="ru-RU"/>
        </w:rPr>
        <w:t>Звернення розглядаються і вирішуються у термін не більше одного місяця від дня їх надходження.</w:t>
      </w:r>
    </w:p>
    <w:p w14:paraId="3F7F547F" w14:textId="77777777" w:rsidR="0070385F" w:rsidRPr="003062D3" w:rsidRDefault="0070385F" w:rsidP="003062D3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3062D3">
        <w:rPr>
          <w:rFonts w:eastAsia="Times New Roman" w:cstheme="minorHAnsi"/>
          <w:sz w:val="28"/>
          <w:szCs w:val="28"/>
          <w:lang w:val="uk-UA" w:eastAsia="ru-RU"/>
        </w:rPr>
        <w:t>Звернення, які не потребують додаткового вивчення, – від 1 до 15 днів з дня їх отримання.</w:t>
      </w:r>
    </w:p>
    <w:p w14:paraId="12D957F8" w14:textId="77777777" w:rsidR="0070385F" w:rsidRPr="003062D3" w:rsidRDefault="0070385F" w:rsidP="003062D3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3062D3">
        <w:rPr>
          <w:rFonts w:eastAsia="Times New Roman" w:cstheme="minorHAnsi"/>
          <w:sz w:val="28"/>
          <w:szCs w:val="28"/>
          <w:lang w:val="uk-UA" w:eastAsia="ru-RU"/>
        </w:rPr>
        <w:t>Якщо в місячний термін вирішити порушені у зверненні питання неможливо, керівником встановлюється термін, необхідний для його розгляду. Про що повідомляється особі, яка подала звернення. При цьому загальний термін надання відповіді не може перевищувати 45 днів. </w:t>
      </w:r>
    </w:p>
    <w:p w14:paraId="371071AD" w14:textId="77777777" w:rsidR="0070385F" w:rsidRPr="003062D3" w:rsidRDefault="0070385F" w:rsidP="003062D3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3062D3">
        <w:rPr>
          <w:rFonts w:eastAsia="Times New Roman" w:cstheme="minorHAnsi"/>
          <w:sz w:val="28"/>
          <w:szCs w:val="28"/>
          <w:lang w:val="uk-UA" w:eastAsia="ru-RU"/>
        </w:rPr>
        <w:t>На обґрунтовану письмову вимогу громадянина термін розгляду може бути скорочений від встановленого законодавством терміну.</w:t>
      </w:r>
    </w:p>
    <w:p w14:paraId="0CE5D69D" w14:textId="77777777" w:rsidR="0070385F" w:rsidRPr="003062D3" w:rsidRDefault="0070385F" w:rsidP="003062D3">
      <w:pPr>
        <w:pStyle w:val="a8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3062D3">
        <w:rPr>
          <w:rFonts w:eastAsia="Times New Roman" w:cstheme="minorHAnsi"/>
          <w:sz w:val="28"/>
          <w:szCs w:val="28"/>
          <w:lang w:val="uk-UA" w:eastAsia="ru-RU"/>
        </w:rPr>
        <w:t>Звернення громадян, які мають встановлені законодавством пільги, розглядаються у першочерговому порядку.</w:t>
      </w:r>
    </w:p>
    <w:p w14:paraId="6866F390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</w:p>
    <w:p w14:paraId="509AD3CC" w14:textId="77777777" w:rsidR="0070385F" w:rsidRPr="0070385F" w:rsidRDefault="0070385F" w:rsidP="0070385F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b/>
          <w:sz w:val="28"/>
          <w:szCs w:val="28"/>
          <w:lang w:val="uk-UA" w:eastAsia="ru-RU"/>
        </w:rPr>
        <w:t>Як оформити запит на інформацію</w:t>
      </w:r>
    </w:p>
    <w:p w14:paraId="5EBC15F2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lastRenderedPageBreak/>
        <w:t>Запит на інформацію – це прохання особи до розпорядника надати публічну інформацію, що знаходиться у його володінні. Запитувач має право звернутися до розпорядника незалежно від того, стосується запитувана інформація його особисто чи ні, без пояснення причини подання запиту.</w:t>
      </w:r>
    </w:p>
    <w:p w14:paraId="70A2C0C6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Запит на інформацію може бути індивідуальним або колективним. Запити можуть подаватися в усній, письмовій чи іншій формі (поштою, факсом, телефоном, електронною поштою) на вибір запитувача.</w:t>
      </w:r>
    </w:p>
    <w:p w14:paraId="2ECA604B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sz w:val="28"/>
          <w:szCs w:val="28"/>
          <w:lang w:val="uk-UA"/>
        </w:rPr>
        <w:t>Розпорядник інформації має надати відповідь на запит на інформацію не пізніше 5 робочих днів із дня отримання запиту.</w:t>
      </w:r>
    </w:p>
    <w:p w14:paraId="24DCFA89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  <w:lang w:val="uk-UA"/>
        </w:rPr>
      </w:pPr>
    </w:p>
    <w:p w14:paraId="4C8412B7" w14:textId="77777777" w:rsidR="0070385F" w:rsidRPr="0070385F" w:rsidRDefault="0070385F" w:rsidP="0070385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70385F">
        <w:rPr>
          <w:rFonts w:asciiTheme="minorHAnsi" w:hAnsiTheme="minorHAnsi" w:cstheme="minorHAnsi"/>
          <w:b/>
          <w:sz w:val="28"/>
          <w:szCs w:val="28"/>
          <w:lang w:val="uk-UA"/>
        </w:rPr>
        <w:t>Процедура досудового врегулювання спорів</w:t>
      </w:r>
    </w:p>
    <w:p w14:paraId="01CED21F" w14:textId="6EB8103D" w:rsidR="0070385F" w:rsidRPr="0070385F" w:rsidRDefault="0070385F" w:rsidP="0070385F">
      <w:pPr>
        <w:shd w:val="clear" w:color="auto" w:fill="FFFFFF"/>
        <w:jc w:val="both"/>
        <w:rPr>
          <w:rFonts w:cstheme="minorHAnsi"/>
          <w:sz w:val="28"/>
          <w:szCs w:val="28"/>
          <w:lang w:val="uk-UA"/>
        </w:rPr>
      </w:pPr>
      <w:r w:rsidRPr="0070385F">
        <w:rPr>
          <w:rFonts w:cstheme="minorHAnsi"/>
          <w:sz w:val="28"/>
          <w:szCs w:val="28"/>
          <w:lang w:val="uk-UA"/>
        </w:rPr>
        <w:t xml:space="preserve">Уразі виникнення будь-яких питань щодо розподілу природного газу,  незгоди з обліковими даними щодо обсягів спожитого газу, незгоди з діями працівників </w:t>
      </w:r>
      <w:r>
        <w:rPr>
          <w:rFonts w:cstheme="minorHAnsi"/>
          <w:sz w:val="28"/>
          <w:szCs w:val="28"/>
          <w:lang w:val="uk-UA"/>
        </w:rPr>
        <w:t>Харківської міської філії</w:t>
      </w:r>
      <w:r w:rsidRPr="0070385F">
        <w:rPr>
          <w:rFonts w:cstheme="minorHAnsi"/>
          <w:sz w:val="28"/>
          <w:szCs w:val="28"/>
          <w:lang w:val="uk-UA"/>
        </w:rPr>
        <w:t xml:space="preserve"> ТОВ «Газорозподільні мережі України» щодо встановлення, повірки лічильників, проведення звіряння показань, технічного обслуговування газового обладнання, видачі технічних умов тощо, заявник можете звернутися до Центрів обслуговування клієнтів компанії або Контакт-центру за телефонами: </w:t>
      </w:r>
      <w:r w:rsidRPr="0070385F">
        <w:rPr>
          <w:rFonts w:eastAsia="Times New Roman" w:cstheme="minorHAnsi"/>
          <w:color w:val="050505"/>
          <w:sz w:val="28"/>
          <w:szCs w:val="28"/>
          <w:lang w:val="uk-UA" w:eastAsia="ru-RU"/>
        </w:rPr>
        <w:t>066-300-2-888, 098-300-2-888, 093-300-2-888</w:t>
      </w:r>
      <w:r w:rsidRPr="0070385F">
        <w:rPr>
          <w:rFonts w:cstheme="minorHAnsi"/>
          <w:sz w:val="28"/>
          <w:szCs w:val="28"/>
          <w:lang w:val="uk-UA"/>
        </w:rPr>
        <w:t>.</w:t>
      </w:r>
    </w:p>
    <w:p w14:paraId="765FA85B" w14:textId="77777777" w:rsidR="0070385F" w:rsidRDefault="0070385F" w:rsidP="003062D3">
      <w:pPr>
        <w:shd w:val="clear" w:color="auto" w:fill="FFFFFF"/>
        <w:spacing w:after="0"/>
        <w:jc w:val="both"/>
        <w:rPr>
          <w:rFonts w:cstheme="minorHAnsi"/>
          <w:sz w:val="28"/>
          <w:szCs w:val="28"/>
          <w:lang w:val="uk-UA"/>
        </w:rPr>
      </w:pPr>
      <w:r w:rsidRPr="0070385F">
        <w:rPr>
          <w:rFonts w:cstheme="minorHAnsi"/>
          <w:sz w:val="28"/>
          <w:szCs w:val="28"/>
          <w:lang w:val="uk-UA"/>
        </w:rPr>
        <w:t>Спірні питання мають вирішуватися шляхом переговорів, з урахуванням вимог нормативних документів, зокрема Кодексу газорозподільних систем, а також прийнятих рішень та роз’яснень Регулятора, а в разі недосягнення згоди – в судовому порядку.</w:t>
      </w:r>
    </w:p>
    <w:p w14:paraId="7A854B8D" w14:textId="77777777" w:rsidR="0070385F" w:rsidRPr="0070385F" w:rsidRDefault="0070385F" w:rsidP="003062D3">
      <w:pPr>
        <w:shd w:val="clear" w:color="auto" w:fill="FFFFFF"/>
        <w:spacing w:after="0"/>
        <w:jc w:val="both"/>
        <w:rPr>
          <w:rFonts w:cstheme="minorHAnsi"/>
          <w:sz w:val="28"/>
          <w:szCs w:val="28"/>
          <w:lang w:val="uk-UA"/>
        </w:rPr>
      </w:pPr>
    </w:p>
    <w:p w14:paraId="4CB4F912" w14:textId="19479211" w:rsidR="0070385F" w:rsidRPr="0070385F" w:rsidRDefault="0070385F" w:rsidP="003062D3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b/>
          <w:sz w:val="28"/>
          <w:szCs w:val="28"/>
          <w:lang w:val="uk-UA" w:eastAsia="ru-RU"/>
        </w:rPr>
        <w:t xml:space="preserve">Порядок оскарження дій чи бездіяльності посадових осіб Оператора ГРМ </w:t>
      </w:r>
    </w:p>
    <w:p w14:paraId="55C408CC" w14:textId="40C7805F" w:rsidR="0070385F" w:rsidRPr="0070385F" w:rsidRDefault="0070385F" w:rsidP="003062D3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Для оскарження дій чи бездіяльності посадових осіб </w:t>
      </w:r>
      <w:r>
        <w:rPr>
          <w:rFonts w:eastAsia="Times New Roman" w:cstheme="minorHAnsi"/>
          <w:sz w:val="28"/>
          <w:szCs w:val="28"/>
          <w:lang w:val="uk-UA" w:eastAsia="ru-RU"/>
        </w:rPr>
        <w:t>Харківської міської філії</w:t>
      </w:r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 ТОВ «Газорозподільні мережі України» заявник може звернутися зі скаргою до:</w:t>
      </w:r>
    </w:p>
    <w:p w14:paraId="5C924B1B" w14:textId="22F90510" w:rsidR="0070385F" w:rsidRPr="00460F0E" w:rsidRDefault="0070385F" w:rsidP="00460F0E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460F0E">
        <w:rPr>
          <w:rFonts w:eastAsia="Times New Roman" w:cstheme="minorHAnsi"/>
          <w:sz w:val="28"/>
          <w:szCs w:val="28"/>
          <w:lang w:val="uk-UA" w:eastAsia="ru-RU"/>
        </w:rPr>
        <w:t>територіального підрозділу Національної комісії, що здійснює державне регулювання у сферах енергетики та комунальних послуг (НКРЕКП)</w:t>
      </w:r>
      <w:r w:rsidRPr="00460F0E">
        <w:rPr>
          <w:rFonts w:eastAsia="Times New Roman" w:cstheme="minorHAnsi"/>
          <w:sz w:val="28"/>
          <w:szCs w:val="28"/>
          <w:lang w:val="uk-UA" w:eastAsia="ru-RU"/>
        </w:rPr>
        <w:t xml:space="preserve"> у </w:t>
      </w:r>
      <w:hyperlink r:id="rId9" w:history="1">
        <w:r w:rsidRPr="00460F0E">
          <w:rPr>
            <w:rStyle w:val="a5"/>
            <w:rFonts w:eastAsia="Times New Roman" w:cstheme="minorHAnsi"/>
            <w:sz w:val="28"/>
            <w:szCs w:val="28"/>
            <w:lang w:val="uk-UA" w:eastAsia="ru-RU"/>
          </w:rPr>
          <w:t>Харківській області</w:t>
        </w:r>
      </w:hyperlink>
      <w:r w:rsidRPr="00460F0E">
        <w:rPr>
          <w:rFonts w:eastAsia="Times New Roman" w:cstheme="minorHAnsi"/>
          <w:sz w:val="28"/>
          <w:szCs w:val="28"/>
          <w:lang w:val="uk-UA" w:eastAsia="ru-RU"/>
        </w:rPr>
        <w:t>;</w:t>
      </w:r>
    </w:p>
    <w:p w14:paraId="4F8FEB88" w14:textId="5C8AB0B3" w:rsidR="003062D3" w:rsidRPr="00460F0E" w:rsidRDefault="0070385F" w:rsidP="00460F0E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460F0E">
        <w:rPr>
          <w:rFonts w:eastAsia="Times New Roman" w:cstheme="minorHAnsi"/>
          <w:sz w:val="28"/>
          <w:szCs w:val="28"/>
          <w:lang w:val="uk-UA" w:eastAsia="ru-RU"/>
        </w:rPr>
        <w:t xml:space="preserve">Національної комісії, що здійснює державне регулювання у сферах енергетики та комунальних послуг (НКРЕКП) </w:t>
      </w:r>
    </w:p>
    <w:p w14:paraId="448671F8" w14:textId="3459A9DD" w:rsidR="003062D3" w:rsidRDefault="0070385F" w:rsidP="00460F0E">
      <w:pPr>
        <w:shd w:val="clear" w:color="auto" w:fill="FFFFFF"/>
        <w:spacing w:after="0"/>
        <w:ind w:left="709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за адресою: 0</w:t>
      </w:r>
      <w:hyperlink r:id="rId10" w:history="1">
        <w:r w:rsidRPr="0070385F">
          <w:rPr>
            <w:rFonts w:eastAsia="Times New Roman" w:cstheme="minorHAnsi"/>
            <w:sz w:val="28"/>
            <w:szCs w:val="28"/>
            <w:bdr w:val="none" w:sz="0" w:space="0" w:color="auto" w:frame="1"/>
            <w:lang w:val="uk-UA" w:eastAsia="ru-RU"/>
          </w:rPr>
          <w:t>3057 м. Київ, вул. Смоленська, 19</w:t>
        </w:r>
      </w:hyperlink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, </w:t>
      </w:r>
    </w:p>
    <w:p w14:paraId="728BB301" w14:textId="77098D80" w:rsidR="003062D3" w:rsidRDefault="0070385F" w:rsidP="00460F0E">
      <w:pPr>
        <w:shd w:val="clear" w:color="auto" w:fill="FFFFFF"/>
        <w:spacing w:after="0"/>
        <w:ind w:left="709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телефон «Гарячої лінії»: </w:t>
      </w:r>
      <w:r w:rsidRPr="0070385F">
        <w:rPr>
          <w:rFonts w:cstheme="minorHAnsi"/>
          <w:sz w:val="28"/>
          <w:szCs w:val="28"/>
          <w:shd w:val="clear" w:color="auto" w:fill="FFFFFF"/>
          <w:lang w:val="uk-UA"/>
        </w:rPr>
        <w:t>(044) 207-19-31</w:t>
      </w:r>
      <w:r w:rsidRPr="0070385F">
        <w:rPr>
          <w:rFonts w:eastAsia="Times New Roman" w:cstheme="minorHAnsi"/>
          <w:sz w:val="28"/>
          <w:szCs w:val="28"/>
          <w:lang w:val="uk-UA" w:eastAsia="ru-RU"/>
        </w:rPr>
        <w:t xml:space="preserve">; </w:t>
      </w:r>
    </w:p>
    <w:p w14:paraId="00A93958" w14:textId="58D2CAE9" w:rsidR="003062D3" w:rsidRDefault="0070385F" w:rsidP="00460F0E">
      <w:pPr>
        <w:shd w:val="clear" w:color="auto" w:fill="FFFFFF"/>
        <w:spacing w:after="0"/>
        <w:ind w:left="709"/>
        <w:jc w:val="both"/>
        <w:textAlignment w:val="baseline"/>
        <w:rPr>
          <w:rFonts w:cstheme="minorHAnsi"/>
          <w:sz w:val="28"/>
          <w:szCs w:val="28"/>
          <w:lang w:val="uk-UA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E-</w:t>
      </w:r>
      <w:proofErr w:type="spellStart"/>
      <w:r w:rsidRPr="0070385F">
        <w:rPr>
          <w:rFonts w:eastAsia="Times New Roman" w:cstheme="minorHAnsi"/>
          <w:sz w:val="28"/>
          <w:szCs w:val="28"/>
          <w:lang w:val="uk-UA" w:eastAsia="ru-RU"/>
        </w:rPr>
        <w:t>mail</w:t>
      </w:r>
      <w:proofErr w:type="spellEnd"/>
      <w:r w:rsidRPr="0070385F">
        <w:rPr>
          <w:rFonts w:eastAsia="Times New Roman" w:cstheme="minorHAnsi"/>
          <w:sz w:val="28"/>
          <w:szCs w:val="28"/>
          <w:lang w:val="uk-UA" w:eastAsia="ru-RU"/>
        </w:rPr>
        <w:t>:</w:t>
      </w:r>
      <w:r w:rsidR="003062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hyperlink r:id="rId11" w:history="1">
        <w:r w:rsidR="003062D3" w:rsidRPr="003062D3">
          <w:rPr>
            <w:rStyle w:val="a5"/>
            <w:rFonts w:cstheme="minorHAnsi"/>
            <w:sz w:val="28"/>
            <w:szCs w:val="28"/>
            <w:lang w:val="en-US"/>
          </w:rPr>
          <w:t>box@nerc.gov.ua</w:t>
        </w:r>
      </w:hyperlink>
      <w:r w:rsidRPr="0070385F">
        <w:rPr>
          <w:rFonts w:eastAsia="Times New Roman" w:cstheme="minorHAnsi"/>
          <w:color w:val="333333"/>
          <w:sz w:val="28"/>
          <w:szCs w:val="28"/>
          <w:lang w:val="uk-UA" w:eastAsia="ru-RU"/>
        </w:rPr>
        <w:t xml:space="preserve">, </w:t>
      </w:r>
      <w:hyperlink r:id="rId12" w:history="1">
        <w:r w:rsidRPr="0070385F">
          <w:rPr>
            <w:rStyle w:val="a5"/>
            <w:rFonts w:cstheme="minorHAnsi"/>
            <w:color w:val="004BC1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pr@nerc.gov.ua</w:t>
        </w:r>
      </w:hyperlink>
      <w:r w:rsidR="003062D3" w:rsidRPr="003062D3">
        <w:rPr>
          <w:rStyle w:val="a5"/>
          <w:rFonts w:cstheme="minorHAnsi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;</w:t>
      </w:r>
    </w:p>
    <w:p w14:paraId="73583235" w14:textId="7DFCF5FB" w:rsidR="0070385F" w:rsidRPr="003062D3" w:rsidRDefault="0070385F" w:rsidP="00460F0E">
      <w:pPr>
        <w:shd w:val="clear" w:color="auto" w:fill="FFFFFF"/>
        <w:spacing w:after="0"/>
        <w:ind w:left="709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офіційний інтернет-сайт НКРЕКП:</w:t>
      </w:r>
      <w:r w:rsidR="003062D3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hyperlink r:id="rId13" w:history="1">
        <w:r w:rsidR="003062D3" w:rsidRPr="00987380">
          <w:rPr>
            <w:rStyle w:val="a5"/>
            <w:rFonts w:cstheme="minorHAnsi"/>
            <w:sz w:val="28"/>
            <w:szCs w:val="28"/>
          </w:rPr>
          <w:t>https://www.nerc.gov.ua/</w:t>
        </w:r>
      </w:hyperlink>
      <w:r w:rsidR="003062D3">
        <w:rPr>
          <w:rFonts w:cstheme="minorHAnsi"/>
          <w:sz w:val="28"/>
          <w:szCs w:val="28"/>
          <w:lang w:val="uk-UA"/>
        </w:rPr>
        <w:t xml:space="preserve">. </w:t>
      </w:r>
    </w:p>
    <w:p w14:paraId="198B0E92" w14:textId="77777777" w:rsidR="0070385F" w:rsidRPr="0070385F" w:rsidRDefault="0070385F" w:rsidP="00460F0E">
      <w:pPr>
        <w:shd w:val="clear" w:color="auto" w:fill="FFFFFF"/>
        <w:spacing w:after="375"/>
        <w:jc w:val="both"/>
        <w:textAlignment w:val="baseline"/>
        <w:rPr>
          <w:rFonts w:eastAsia="Times New Roman" w:cstheme="minorHAnsi"/>
          <w:sz w:val="28"/>
          <w:szCs w:val="28"/>
          <w:lang w:val="uk-UA" w:eastAsia="ru-RU"/>
        </w:rPr>
      </w:pPr>
      <w:r w:rsidRPr="0070385F">
        <w:rPr>
          <w:rFonts w:eastAsia="Times New Roman" w:cstheme="minorHAnsi"/>
          <w:sz w:val="28"/>
          <w:szCs w:val="28"/>
          <w:lang w:val="uk-UA" w:eastAsia="ru-RU"/>
        </w:rPr>
        <w:t>Звернення до НКРЕКП чи його територіального підрозділу не позбавляє Вас права на вирішення спору в судовому порядку.</w:t>
      </w:r>
    </w:p>
    <w:p w14:paraId="1DEC6FE2" w14:textId="77777777" w:rsidR="00C138D6" w:rsidRPr="0070385F" w:rsidRDefault="00C138D6" w:rsidP="0070385F">
      <w:pPr>
        <w:rPr>
          <w:rFonts w:cstheme="minorHAnsi"/>
          <w:sz w:val="28"/>
          <w:szCs w:val="28"/>
          <w:lang w:val="uk-UA"/>
        </w:rPr>
      </w:pPr>
    </w:p>
    <w:sectPr w:rsidR="00C138D6" w:rsidRPr="0070385F" w:rsidSect="007038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77C"/>
    <w:multiLevelType w:val="multilevel"/>
    <w:tmpl w:val="E756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7C6"/>
    <w:multiLevelType w:val="hybridMultilevel"/>
    <w:tmpl w:val="5308D3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1D4"/>
    <w:multiLevelType w:val="multilevel"/>
    <w:tmpl w:val="607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95BB1"/>
    <w:multiLevelType w:val="hybridMultilevel"/>
    <w:tmpl w:val="AA40ECC2"/>
    <w:lvl w:ilvl="0" w:tplc="042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4A53512"/>
    <w:multiLevelType w:val="multilevel"/>
    <w:tmpl w:val="0754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D549C"/>
    <w:multiLevelType w:val="multilevel"/>
    <w:tmpl w:val="6F4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6FC7"/>
    <w:multiLevelType w:val="hybridMultilevel"/>
    <w:tmpl w:val="EF78734E"/>
    <w:lvl w:ilvl="0" w:tplc="FC84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7DA2"/>
    <w:multiLevelType w:val="multilevel"/>
    <w:tmpl w:val="12F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B60"/>
    <w:multiLevelType w:val="hybridMultilevel"/>
    <w:tmpl w:val="37C293C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F051C1"/>
    <w:multiLevelType w:val="multilevel"/>
    <w:tmpl w:val="24C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55159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154464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972379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1747973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20713173">
    <w:abstractNumId w:val="1"/>
  </w:num>
  <w:num w:numId="6" w16cid:durableId="1917475327">
    <w:abstractNumId w:val="6"/>
  </w:num>
  <w:num w:numId="7" w16cid:durableId="1449816329">
    <w:abstractNumId w:val="2"/>
  </w:num>
  <w:num w:numId="8" w16cid:durableId="1127965439">
    <w:abstractNumId w:val="4"/>
  </w:num>
  <w:num w:numId="9" w16cid:durableId="1044061529">
    <w:abstractNumId w:val="3"/>
  </w:num>
  <w:num w:numId="10" w16cid:durableId="1018116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6A"/>
    <w:rsid w:val="00007573"/>
    <w:rsid w:val="001132F1"/>
    <w:rsid w:val="00207E65"/>
    <w:rsid w:val="002A7D5B"/>
    <w:rsid w:val="003044F3"/>
    <w:rsid w:val="003062D3"/>
    <w:rsid w:val="00430763"/>
    <w:rsid w:val="00460F0E"/>
    <w:rsid w:val="005D0F6A"/>
    <w:rsid w:val="00684BDB"/>
    <w:rsid w:val="006D70A1"/>
    <w:rsid w:val="0070385F"/>
    <w:rsid w:val="007365A0"/>
    <w:rsid w:val="00860BFB"/>
    <w:rsid w:val="00884DB2"/>
    <w:rsid w:val="0093451D"/>
    <w:rsid w:val="009B5681"/>
    <w:rsid w:val="009B798A"/>
    <w:rsid w:val="00B32E6A"/>
    <w:rsid w:val="00C138D6"/>
    <w:rsid w:val="00D64EBF"/>
    <w:rsid w:val="00F53BDA"/>
    <w:rsid w:val="00F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2A9"/>
  <w15:docId w15:val="{285A13D9-3B4B-463A-9626-BEB9CED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5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568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5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B5681"/>
    <w:rPr>
      <w:color w:val="0000FF"/>
      <w:u w:val="single"/>
    </w:rPr>
  </w:style>
  <w:style w:type="character" w:styleId="a6">
    <w:name w:val="Strong"/>
    <w:basedOn w:val="a0"/>
    <w:uiPriority w:val="22"/>
    <w:qFormat/>
    <w:rsid w:val="009B5681"/>
    <w:rPr>
      <w:b/>
      <w:bCs/>
    </w:rPr>
  </w:style>
  <w:style w:type="character" w:customStyle="1" w:styleId="custom-blue">
    <w:name w:val="custom-blue"/>
    <w:basedOn w:val="a0"/>
    <w:rsid w:val="009B5681"/>
  </w:style>
  <w:style w:type="paragraph" w:customStyle="1" w:styleId="rvps2">
    <w:name w:val="rvps2"/>
    <w:basedOn w:val="a"/>
    <w:rsid w:val="0030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23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7038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70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Unresolved Mention"/>
    <w:basedOn w:val="a0"/>
    <w:uiPriority w:val="99"/>
    <w:semiHidden/>
    <w:unhideWhenUsed/>
    <w:rsid w:val="0070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6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0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393/96-%D0%B2%D1%80" TargetMode="External"/><Relationship Id="rId13" Type="http://schemas.openxmlformats.org/officeDocument/2006/relationships/hyperlink" Target="https://www.nerc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023-12" TargetMode="External"/><Relationship Id="rId12" Type="http://schemas.openxmlformats.org/officeDocument/2006/relationships/hyperlink" Target="mailto:pr@nerc.gov.ua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2939-17" TargetMode="External"/><Relationship Id="rId11" Type="http://schemas.openxmlformats.org/officeDocument/2006/relationships/hyperlink" Target="mailto:box@nerc.gov.ua" TargetMode="External"/><Relationship Id="rId5" Type="http://schemas.openxmlformats.org/officeDocument/2006/relationships/hyperlink" Target="http://zakon3.rada.gov.ua/laws/show/393/96-%D0%B2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erc.gov.ua/?id=6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rc.gov.ua/teritorialni-organi/harkivska-obl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3968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Петріга Дар'я Володимирівна</cp:lastModifiedBy>
  <cp:revision>6</cp:revision>
  <dcterms:created xsi:type="dcterms:W3CDTF">2024-01-31T13:04:00Z</dcterms:created>
  <dcterms:modified xsi:type="dcterms:W3CDTF">2024-04-18T11:29:00Z</dcterms:modified>
</cp:coreProperties>
</file>